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93B6549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0B5BF4">
        <w:rPr>
          <w:rFonts w:ascii="Arial" w:hAnsi="Arial" w:cs="Arial"/>
          <w:b/>
          <w:noProof/>
          <w:sz w:val="24"/>
          <w:szCs w:val="24"/>
        </w:rPr>
        <w:t>0295</w:t>
      </w:r>
    </w:p>
    <w:p w14:paraId="2526E21D" w14:textId="77777777" w:rsidR="002A0CA5" w:rsidRPr="00471B80" w:rsidRDefault="002A0CA5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0BBB21BF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Architectural Assumptions and Principles</w:t>
      </w:r>
    </w:p>
    <w:p w14:paraId="6B5F945F" w14:textId="338C8C65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0B5BF4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208930A0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>This paper proposes architectural assumptions and principles for FS_XRM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6BDB5D1E" w14:textId="77777777" w:rsidR="00874EC3" w:rsidRDefault="006B2945" w:rsidP="00AA0F20">
      <w:pPr>
        <w:spacing w:afterLines="50" w:after="120"/>
        <w:rPr>
          <w:lang w:eastAsia="zh-CN"/>
        </w:rPr>
      </w:pPr>
      <w:r>
        <w:rPr>
          <w:lang w:eastAsia="zh-CN"/>
        </w:rPr>
        <w:t>The proposal below identifies some architectural requirements for the XRM study.</w:t>
      </w:r>
    </w:p>
    <w:p w14:paraId="5D67CCC2" w14:textId="50DDAE67" w:rsidR="001F3A21" w:rsidRDefault="00874EC3" w:rsidP="00AA0F20">
      <w:pPr>
        <w:spacing w:afterLines="50" w:after="120"/>
        <w:rPr>
          <w:lang w:eastAsia="zh-CN"/>
        </w:rPr>
      </w:pPr>
      <w:r>
        <w:rPr>
          <w:lang w:eastAsia="zh-CN"/>
        </w:rPr>
        <w:t>Many of the items self-described. However, point 4 may benefit from some further context is hence addressed below.</w:t>
      </w:r>
    </w:p>
    <w:p w14:paraId="637878F6" w14:textId="77777777" w:rsidR="00874EC3" w:rsidRPr="00AA0F20" w:rsidRDefault="00874EC3" w:rsidP="00AA0F20">
      <w:pPr>
        <w:spacing w:afterLines="50" w:after="120"/>
        <w:rPr>
          <w:lang w:eastAsia="zh-CN"/>
        </w:rPr>
      </w:pP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11CCCA7B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</w:t>
      </w:r>
      <w:r w:rsidR="00AE44BC">
        <w:rPr>
          <w:rFonts w:eastAsiaTheme="minorEastAsia"/>
          <w:color w:val="auto"/>
          <w:lang w:eastAsia="en-US"/>
        </w:rPr>
        <w:t>700-60</w:t>
      </w:r>
      <w:r w:rsidR="006A41D1">
        <w:rPr>
          <w:rFonts w:eastAsiaTheme="minorEastAsia"/>
          <w:color w:val="auto"/>
          <w:lang w:eastAsia="en-US"/>
        </w:rPr>
        <w:t>.</w:t>
      </w:r>
    </w:p>
    <w:p w14:paraId="78807F5C" w14:textId="0A764E0D" w:rsidR="006A41D1" w:rsidRDefault="006A41D1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</w:t>
      </w:r>
      <w:r w:rsidR="00A2240F">
        <w:rPr>
          <w:rFonts w:eastAsiaTheme="minorEastAsia"/>
          <w:color w:val="auto"/>
          <w:lang w:eastAsia="en-US"/>
        </w:rPr>
        <w:t xml:space="preserve"> list of assumptions and requirements below are drafted considering WT#3.1, 3.2, 3.3 but are general in scope.</w:t>
      </w:r>
    </w:p>
    <w:p w14:paraId="7945B747" w14:textId="77777777" w:rsidR="00D8564A" w:rsidRDefault="00D8564A" w:rsidP="00AD4D49">
      <w:pPr>
        <w:pStyle w:val="Heading1"/>
      </w:pPr>
    </w:p>
    <w:p w14:paraId="15151F2E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260A80A" w14:textId="77777777" w:rsidR="00401144" w:rsidRPr="004D3578" w:rsidRDefault="00401144" w:rsidP="00401144">
      <w:pPr>
        <w:pStyle w:val="Heading1"/>
      </w:pPr>
      <w:bookmarkStart w:id="2" w:name="_Toc93070679"/>
      <w:bookmarkEnd w:id="1"/>
      <w:r w:rsidRPr="004D3578">
        <w:t>4</w:t>
      </w:r>
      <w:r w:rsidRPr="004D3578">
        <w:tab/>
      </w:r>
      <w:r>
        <w:t>Architectural Assumptions and Principles</w:t>
      </w:r>
      <w:bookmarkEnd w:id="2"/>
    </w:p>
    <w:p w14:paraId="18432EF1" w14:textId="64C9D33B" w:rsidR="00351C30" w:rsidRDefault="00401144" w:rsidP="00F83873">
      <w:pPr>
        <w:pStyle w:val="EditorsNote"/>
      </w:pPr>
      <w:r>
        <w:t>Editor’s Note: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>any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architectural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assumptions</w:t>
      </w:r>
      <w:r>
        <w:rPr>
          <w:lang w:val="en-US"/>
        </w:rPr>
        <w:t xml:space="preserve"> and principles</w:t>
      </w:r>
      <w:r w:rsidRPr="00B8102E">
        <w:t>.</w:t>
      </w:r>
    </w:p>
    <w:p w14:paraId="554669EF" w14:textId="41C621EE" w:rsidR="00AE44BC" w:rsidRDefault="00AE44BC" w:rsidP="003D6724">
      <w:r>
        <w:t>The architectu</w:t>
      </w:r>
      <w:r w:rsidR="00CA7735">
        <w:t>re in this study should be based on the following assumptions</w:t>
      </w:r>
      <w:r>
        <w:t>:</w:t>
      </w:r>
    </w:p>
    <w:p w14:paraId="568666B5" w14:textId="2AB7F31D" w:rsidR="005A1FA8" w:rsidRDefault="00D05E67" w:rsidP="005A1FA8">
      <w:pPr>
        <w:pStyle w:val="ListParagraph"/>
        <w:numPr>
          <w:ilvl w:val="0"/>
          <w:numId w:val="16"/>
        </w:numPr>
      </w:pPr>
      <w:r>
        <w:t>T</w:t>
      </w:r>
      <w:r w:rsidR="00CA7735">
        <w:t xml:space="preserve">he </w:t>
      </w:r>
      <w:r>
        <w:t>QoS framework</w:t>
      </w:r>
      <w:r w:rsidR="00DD7047">
        <w:t xml:space="preserve"> </w:t>
      </w:r>
      <w:r w:rsidR="00CA7735">
        <w:t>defined</w:t>
      </w:r>
      <w:r>
        <w:t xml:space="preserve"> in 3GPP Release</w:t>
      </w:r>
      <w:r w:rsidR="00352B22">
        <w:t>s</w:t>
      </w:r>
      <w:r>
        <w:t xml:space="preserve"> 15</w:t>
      </w:r>
      <w:r w:rsidR="00352B22">
        <w:t>-</w:t>
      </w:r>
      <w:r>
        <w:t>17</w:t>
      </w:r>
      <w:r w:rsidR="00CA7735">
        <w:t xml:space="preserve"> is used as the basis for </w:t>
      </w:r>
      <w:r w:rsidR="00EB1746">
        <w:t xml:space="preserve">architecture </w:t>
      </w:r>
      <w:r w:rsidR="00CA7735">
        <w:t>enhancement</w:t>
      </w:r>
      <w:r>
        <w:t>.</w:t>
      </w:r>
      <w:r w:rsidR="00DD7047">
        <w:br/>
      </w:r>
    </w:p>
    <w:p w14:paraId="5C6620B7" w14:textId="105BEBD3" w:rsidR="0011309D" w:rsidRDefault="008C3E01" w:rsidP="005D3AF6">
      <w:pPr>
        <w:pStyle w:val="ListParagraph"/>
        <w:numPr>
          <w:ilvl w:val="0"/>
          <w:numId w:val="16"/>
        </w:numPr>
      </w:pPr>
      <w:r>
        <w:t xml:space="preserve">Solutions for </w:t>
      </w:r>
      <w:r w:rsidR="002B558F">
        <w:t xml:space="preserve">XRM </w:t>
      </w:r>
      <w:r w:rsidR="00EB1746">
        <w:t xml:space="preserve">traffic </w:t>
      </w:r>
      <w:r w:rsidR="002060EF">
        <w:t>between</w:t>
      </w:r>
      <w:r w:rsidR="00EB1746">
        <w:t xml:space="preserve"> </w:t>
      </w:r>
      <w:r w:rsidR="002B558F">
        <w:t>client-server</w:t>
      </w:r>
      <w:r w:rsidR="002060EF">
        <w:t xml:space="preserve"> </w:t>
      </w:r>
      <w:r w:rsidR="002B558F">
        <w:t>(</w:t>
      </w:r>
      <w:r w:rsidR="002060EF">
        <w:t>i.e., UE - application server</w:t>
      </w:r>
      <w:r w:rsidR="00D53C62">
        <w:t>) and peer-</w:t>
      </w:r>
      <w:r w:rsidR="009E0D0D">
        <w:t>to-</w:t>
      </w:r>
      <w:r w:rsidR="00D53C62">
        <w:t>peer</w:t>
      </w:r>
      <w:r w:rsidR="002060EF">
        <w:t xml:space="preserve"> </w:t>
      </w:r>
      <w:r w:rsidR="00D53C62">
        <w:t>(</w:t>
      </w:r>
      <w:r w:rsidR="002060EF">
        <w:t>i.e., N9 rout</w:t>
      </w:r>
      <w:r>
        <w:t>ed</w:t>
      </w:r>
      <w:r w:rsidR="002060EF">
        <w:t xml:space="preserve"> between two UEs</w:t>
      </w:r>
      <w:r w:rsidR="00D53C62">
        <w:t>)</w:t>
      </w:r>
      <w:r>
        <w:t xml:space="preserve"> should be studied</w:t>
      </w:r>
      <w:r w:rsidR="002060EF">
        <w:t>.</w:t>
      </w:r>
    </w:p>
    <w:p w14:paraId="4DA4F891" w14:textId="282A3188" w:rsidR="00E9553E" w:rsidRPr="00A521F5" w:rsidRDefault="0011309D" w:rsidP="0011309D">
      <w:pPr>
        <w:pStyle w:val="NO"/>
      </w:pPr>
      <w:r>
        <w:t>NOTE: Th</w:t>
      </w:r>
      <w:r w:rsidR="00EB60D6">
        <w:t>e</w:t>
      </w:r>
      <w:r>
        <w:t xml:space="preserve"> study</w:t>
      </w:r>
      <w:r w:rsidR="00EB60D6">
        <w:t xml:space="preserve"> item description</w:t>
      </w:r>
      <w:r>
        <w:t xml:space="preserve"> refers to </w:t>
      </w:r>
      <w:r w:rsidR="00EB60D6">
        <w:t>examples</w:t>
      </w:r>
      <w:r>
        <w:t xml:space="preserve"> </w:t>
      </w:r>
      <w:r w:rsidR="00E47D4B">
        <w:t>including</w:t>
      </w:r>
      <w:r>
        <w:t xml:space="preserve"> </w:t>
      </w:r>
      <w:r>
        <w:rPr>
          <w:rFonts w:eastAsia="SimSun"/>
          <w:lang w:val="en-US" w:eastAsia="zh-CN"/>
        </w:rPr>
        <w:t xml:space="preserve">mobile media services, </w:t>
      </w:r>
      <w:bookmarkStart w:id="3" w:name="OLE_LINK1"/>
      <w:r>
        <w:rPr>
          <w:rFonts w:eastAsia="SimSun"/>
          <w:lang w:eastAsia="zh-CN"/>
        </w:rPr>
        <w:t xml:space="preserve">cloud </w:t>
      </w:r>
      <w:r>
        <w:rPr>
          <w:rFonts w:eastAsia="SimSun"/>
        </w:rPr>
        <w:t xml:space="preserve">AR/VR, cloud gaming, </w:t>
      </w:r>
      <w:bookmarkEnd w:id="3"/>
      <w:r>
        <w:rPr>
          <w:rFonts w:eastAsia="SimSun"/>
        </w:rPr>
        <w:t>video-based tele</w:t>
      </w:r>
      <w:r>
        <w:rPr>
          <w:rFonts w:eastAsia="SimSun"/>
          <w:lang w:eastAsia="zh-CN"/>
        </w:rPr>
        <w:t>-</w:t>
      </w:r>
      <w:r>
        <w:rPr>
          <w:rFonts w:eastAsia="SimSun"/>
        </w:rPr>
        <w:t>control for machines or drones</w:t>
      </w:r>
      <w:r w:rsidR="00E47D4B">
        <w:rPr>
          <w:rFonts w:eastAsia="SimSun"/>
        </w:rPr>
        <w:t>, some of which are client</w:t>
      </w:r>
      <w:r w:rsidR="00EB60D6">
        <w:rPr>
          <w:rFonts w:eastAsia="SimSun"/>
        </w:rPr>
        <w:t>-</w:t>
      </w:r>
      <w:r w:rsidR="00E47D4B">
        <w:rPr>
          <w:rFonts w:eastAsia="SimSun"/>
        </w:rPr>
        <w:t>server, others peer-</w:t>
      </w:r>
      <w:r w:rsidR="009E0D0D">
        <w:rPr>
          <w:rFonts w:eastAsia="SimSun"/>
        </w:rPr>
        <w:t>to-</w:t>
      </w:r>
      <w:r w:rsidR="00E47D4B">
        <w:rPr>
          <w:rFonts w:eastAsia="SimSun"/>
        </w:rPr>
        <w:t>peer or a combination.</w:t>
      </w:r>
    </w:p>
    <w:p w14:paraId="1656FD2A" w14:textId="6454EAF1" w:rsidR="00E66C6F" w:rsidRPr="00B45AE5" w:rsidRDefault="001971FE" w:rsidP="00B45AE5">
      <w:pPr>
        <w:pStyle w:val="ListParagraph"/>
        <w:numPr>
          <w:ilvl w:val="0"/>
          <w:numId w:val="16"/>
        </w:numPr>
      </w:pPr>
      <w:r w:rsidRPr="00CA7735">
        <w:t xml:space="preserve">Architecture enhancements </w:t>
      </w:r>
      <w:r w:rsidR="00EB1746">
        <w:t>should</w:t>
      </w:r>
      <w:r w:rsidRPr="00CA7735">
        <w:t xml:space="preserve"> support XRM a</w:t>
      </w:r>
      <w:r w:rsidR="005A1FA8" w:rsidRPr="00CA7735">
        <w:t>pplication</w:t>
      </w:r>
      <w:r w:rsidRPr="00CA7735">
        <w:t>s</w:t>
      </w:r>
      <w:r w:rsidR="00BA07CE" w:rsidRPr="00CA7735">
        <w:t xml:space="preserve"> and its traffic characteristics</w:t>
      </w:r>
      <w:r w:rsidRPr="00CA7735">
        <w:t>.</w:t>
      </w:r>
      <w:r w:rsidR="005A1FA8" w:rsidRPr="00CA7735">
        <w:t xml:space="preserve"> </w:t>
      </w:r>
      <w:r w:rsidRPr="00CA7735">
        <w:t xml:space="preserve">However, </w:t>
      </w:r>
      <w:r w:rsidR="005A1FA8" w:rsidRPr="00CA7735">
        <w:t xml:space="preserve">media </w:t>
      </w:r>
      <w:r w:rsidR="002060EF">
        <w:t>codec</w:t>
      </w:r>
      <w:r w:rsidR="005A1FA8" w:rsidRPr="00CA7735">
        <w:t xml:space="preserve"> details are not in the scope of this study.</w:t>
      </w:r>
      <w:r w:rsidR="00E66C6F" w:rsidRPr="00B45AE5">
        <w:rPr>
          <w:strike/>
        </w:rPr>
        <w:br/>
      </w:r>
    </w:p>
    <w:p w14:paraId="67CF7475" w14:textId="6C50E3A1" w:rsidR="00870DD4" w:rsidRDefault="00E66C6F" w:rsidP="00C57016">
      <w:pPr>
        <w:pStyle w:val="ListParagraph"/>
        <w:numPr>
          <w:ilvl w:val="0"/>
          <w:numId w:val="16"/>
        </w:numPr>
      </w:pPr>
      <w:r>
        <w:t>Packets/frames carrying XR and media application data may be encrypted in some cases and unencrypted in other cases.</w:t>
      </w:r>
      <w:r w:rsidR="00B45AE5">
        <w:t xml:space="preserve"> Solutions developed in this TR may support either or both cases.</w:t>
      </w:r>
      <w:r w:rsidR="00117F3D">
        <w:t xml:space="preserve">  </w:t>
      </w:r>
      <w:r w:rsidR="00083A94" w:rsidRPr="00CA7735">
        <w:br/>
      </w:r>
    </w:p>
    <w:p w14:paraId="76398747" w14:textId="77777777" w:rsidR="00C66FA2" w:rsidRPr="00D133C6" w:rsidRDefault="00C66FA2" w:rsidP="00C66FA2">
      <w:pPr>
        <w:pStyle w:val="ListParagraph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0724F" w14:textId="77777777" w:rsidR="00363D54" w:rsidRDefault="00363D54">
      <w:pPr>
        <w:spacing w:after="0"/>
      </w:pPr>
      <w:r>
        <w:separator/>
      </w:r>
    </w:p>
  </w:endnote>
  <w:endnote w:type="continuationSeparator" w:id="0">
    <w:p w14:paraId="69F167EB" w14:textId="77777777" w:rsidR="00363D54" w:rsidRDefault="00363D54">
      <w:pPr>
        <w:spacing w:after="0"/>
      </w:pPr>
      <w:r>
        <w:continuationSeparator/>
      </w:r>
    </w:p>
  </w:endnote>
  <w:endnote w:type="continuationNotice" w:id="1">
    <w:p w14:paraId="60B3FD9F" w14:textId="77777777" w:rsidR="00363D54" w:rsidRDefault="00363D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6F84E" w14:textId="77777777" w:rsidR="00363D54" w:rsidRDefault="00363D54">
      <w:pPr>
        <w:spacing w:after="0"/>
      </w:pPr>
      <w:r>
        <w:separator/>
      </w:r>
    </w:p>
  </w:footnote>
  <w:footnote w:type="continuationSeparator" w:id="0">
    <w:p w14:paraId="6B085325" w14:textId="77777777" w:rsidR="00363D54" w:rsidRDefault="00363D54">
      <w:pPr>
        <w:spacing w:after="0"/>
      </w:pPr>
      <w:r>
        <w:continuationSeparator/>
      </w:r>
    </w:p>
  </w:footnote>
  <w:footnote w:type="continuationNotice" w:id="1">
    <w:p w14:paraId="486EEE13" w14:textId="77777777" w:rsidR="00363D54" w:rsidRDefault="00363D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2"/>
  </w:num>
  <w:num w:numId="5">
    <w:abstractNumId w:val="12"/>
  </w:num>
  <w:num w:numId="6">
    <w:abstractNumId w:val="7"/>
  </w:num>
  <w:num w:numId="7">
    <w:abstractNumId w:val="16"/>
  </w:num>
  <w:num w:numId="8">
    <w:abstractNumId w:val="3"/>
  </w:num>
  <w:num w:numId="9">
    <w:abstractNumId w:val="10"/>
  </w:num>
  <w:num w:numId="10">
    <w:abstractNumId w:val="11"/>
  </w:num>
  <w:num w:numId="11">
    <w:abstractNumId w:val="8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276</Words>
  <Characters>1577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John</cp:lastModifiedBy>
  <cp:revision>13</cp:revision>
  <dcterms:created xsi:type="dcterms:W3CDTF">2022-01-26T17:10:00Z</dcterms:created>
  <dcterms:modified xsi:type="dcterms:W3CDTF">2022-01-27T19:45:00Z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